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789"/>
        </w:tabs>
        <w:spacing w:after="0" w:line="240"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2">
      <w:pPr>
        <w:tabs>
          <w:tab w:val="left" w:leader="none" w:pos="8789"/>
        </w:tabs>
        <w:spacing w:after="0" w:line="240" w:lineRule="auto"/>
        <w:rPr>
          <w:rFonts w:ascii="Kudrashov-Italic" w:cs="Kudrashov-Italic" w:eastAsia="Kudrashov-Italic" w:hAnsi="Kudrashov-Italic"/>
          <w:i w:val="1"/>
        </w:rPr>
      </w:pPr>
      <w:r w:rsidDel="00000000" w:rsidR="00000000" w:rsidRPr="00000000">
        <w:rPr>
          <w:rFonts w:ascii="Helvetica Neue" w:cs="Helvetica Neue" w:eastAsia="Helvetica Neue" w:hAnsi="Helvetica Neue"/>
          <w:b w:val="1"/>
          <w:sz w:val="28"/>
          <w:szCs w:val="28"/>
          <w:rtl w:val="0"/>
        </w:rPr>
        <w:t xml:space="preserve">Претензия к контрагенту на досудебном этапе (фрагмент)</w:t>
        <w:tab/>
      </w:r>
      <w:r w:rsidDel="00000000" w:rsidR="00000000" w:rsidRPr="00000000">
        <w:rPr>
          <w:rtl w:val="0"/>
        </w:rPr>
      </w:r>
    </w:p>
    <w:p w:rsidR="00000000" w:rsidDel="00000000" w:rsidP="00000000" w:rsidRDefault="00000000" w:rsidRPr="00000000" w14:paraId="00000003">
      <w:pPr>
        <w:tabs>
          <w:tab w:val="left" w:leader="none" w:pos="8789"/>
        </w:tabs>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ind w:firstLine="567"/>
        <w:jc w:val="both"/>
        <w:rPr>
          <w:sz w:val="28"/>
          <w:szCs w:val="28"/>
        </w:rPr>
      </w:pPr>
      <w:bookmarkStart w:colFirst="0" w:colLast="0" w:name="_heading=h.gjdgxs" w:id="0"/>
      <w:bookmarkEnd w:id="0"/>
      <w:r w:rsidDel="00000000" w:rsidR="00000000" w:rsidRPr="00000000">
        <w:rPr>
          <w:sz w:val="28"/>
          <w:szCs w:val="28"/>
          <w:rtl w:val="0"/>
        </w:rPr>
        <w:t xml:space="preserve">В соответствии с абзацем 2 пункта 4 статьи 453 ГК 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(гл. 60 ГК), если иное не предусмотрено законом или договором либо не вытекает из существа обязательства.</w:t>
      </w:r>
    </w:p>
    <w:p w:rsidR="00000000" w:rsidDel="00000000" w:rsidP="00000000" w:rsidRDefault="00000000" w:rsidRPr="00000000" w14:paraId="00000005">
      <w:pPr>
        <w:spacing w:after="0" w:line="240" w:lineRule="auto"/>
        <w:ind w:firstLine="567"/>
        <w:jc w:val="both"/>
        <w:rPr>
          <w:sz w:val="28"/>
          <w:szCs w:val="28"/>
        </w:rPr>
      </w:pPr>
      <w:r w:rsidDel="00000000" w:rsidR="00000000" w:rsidRPr="00000000">
        <w:rPr>
          <w:sz w:val="28"/>
          <w:szCs w:val="28"/>
          <w:rtl w:val="0"/>
        </w:rPr>
        <w:t xml:space="preserve">Согласно статье 1102 ГК,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000000" w:rsidDel="00000000" w:rsidP="00000000" w:rsidRDefault="00000000" w:rsidRPr="00000000" w14:paraId="00000006">
      <w:pPr>
        <w:spacing w:after="0" w:line="240" w:lineRule="auto"/>
        <w:ind w:firstLine="567"/>
        <w:jc w:val="both"/>
        <w:rPr>
          <w:sz w:val="28"/>
          <w:szCs w:val="28"/>
        </w:rPr>
      </w:pPr>
      <w:r w:rsidDel="00000000" w:rsidR="00000000" w:rsidRPr="00000000">
        <w:rPr>
          <w:sz w:val="28"/>
          <w:szCs w:val="28"/>
          <w:rtl w:val="0"/>
        </w:rPr>
        <w:t xml:space="preserve">Из статей 1104, 1105 ГК следует, что имущество, составляющее неосновательное обогащение приобретателя, должно быть возвращено потерпевшему в натуре, а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000000" w:rsidDel="00000000" w:rsidP="00000000" w:rsidRDefault="00000000" w:rsidRPr="00000000" w14:paraId="00000007">
      <w:pPr>
        <w:spacing w:after="0" w:line="240" w:lineRule="auto"/>
        <w:ind w:firstLine="567"/>
        <w:jc w:val="both"/>
        <w:rPr>
          <w:sz w:val="28"/>
          <w:szCs w:val="28"/>
        </w:rPr>
      </w:pPr>
      <w:r w:rsidDel="00000000" w:rsidR="00000000" w:rsidRPr="00000000">
        <w:rPr>
          <w:sz w:val="28"/>
          <w:szCs w:val="28"/>
          <w:rtl w:val="0"/>
        </w:rPr>
        <w:t xml:space="preserve">Статьей 395 ГК также предусмотрено, что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w:t>
      </w:r>
    </w:p>
    <w:p w:rsidR="00000000" w:rsidDel="00000000" w:rsidP="00000000" w:rsidRDefault="00000000" w:rsidRPr="00000000" w14:paraId="00000008">
      <w:pPr>
        <w:spacing w:after="0" w:line="240" w:lineRule="auto"/>
        <w:ind w:firstLine="567"/>
        <w:jc w:val="both"/>
        <w:rPr>
          <w:sz w:val="28"/>
          <w:szCs w:val="28"/>
        </w:rPr>
      </w:pPr>
      <w:r w:rsidDel="00000000" w:rsidR="00000000" w:rsidRPr="00000000">
        <w:rPr>
          <w:sz w:val="28"/>
          <w:szCs w:val="28"/>
          <w:rtl w:val="0"/>
        </w:rPr>
        <w:t xml:space="preserve">Настоящим требуем возвратить неосновательное обогащение в размере</w:t>
      </w:r>
    </w:p>
    <w:p w:rsidR="00000000" w:rsidDel="00000000" w:rsidP="00000000" w:rsidRDefault="00000000" w:rsidRPr="00000000" w14:paraId="00000009">
      <w:pPr>
        <w:spacing w:after="0" w:line="240" w:lineRule="auto"/>
        <w:jc w:val="both"/>
        <w:rPr>
          <w:sz w:val="28"/>
          <w:szCs w:val="28"/>
        </w:rPr>
      </w:pPr>
      <w:r w:rsidDel="00000000" w:rsidR="00000000" w:rsidRPr="00000000">
        <w:rPr>
          <w:sz w:val="28"/>
          <w:szCs w:val="28"/>
          <w:rtl w:val="0"/>
        </w:rPr>
        <w:t xml:space="preserve"> 544 670 рублей и перечислить проценты за пользование чужими денежными средствами в размере 2462,07 рубля.</w:t>
      </w:r>
    </w:p>
    <w:p w:rsidR="00000000" w:rsidDel="00000000" w:rsidP="00000000" w:rsidRDefault="00000000" w:rsidRPr="00000000" w14:paraId="0000000A">
      <w:pPr>
        <w:spacing w:after="0" w:line="240" w:lineRule="auto"/>
        <w:ind w:firstLine="567"/>
        <w:jc w:val="both"/>
        <w:rPr>
          <w:sz w:val="28"/>
          <w:szCs w:val="28"/>
        </w:rPr>
      </w:pPr>
      <w:r w:rsidDel="00000000" w:rsidR="00000000" w:rsidRPr="00000000">
        <w:rPr>
          <w:sz w:val="28"/>
          <w:szCs w:val="28"/>
          <w:rtl w:val="0"/>
        </w:rPr>
        <w:t xml:space="preserve">На основании статьи 309 ГК и части 5 статьи 4 АПК в рамках досудебного урегулирования спора требуем устранить вышеуказанные нарушения в течение 30 дней с момента получения претензии.</w:t>
      </w:r>
    </w:p>
    <w:p w:rsidR="00000000" w:rsidDel="00000000" w:rsidP="00000000" w:rsidRDefault="00000000" w:rsidRPr="00000000" w14:paraId="0000000B">
      <w:pPr>
        <w:spacing w:after="0" w:line="240" w:lineRule="auto"/>
        <w:ind w:firstLine="567"/>
        <w:jc w:val="both"/>
        <w:rPr>
          <w:sz w:val="28"/>
          <w:szCs w:val="28"/>
        </w:rPr>
      </w:pPr>
      <w:r w:rsidDel="00000000" w:rsidR="00000000" w:rsidRPr="00000000">
        <w:rPr>
          <w:sz w:val="28"/>
          <w:szCs w:val="28"/>
          <w:rtl w:val="0"/>
        </w:rPr>
        <w:t xml:space="preserve">В случае невыполнения требования ООО «Пострадавшая компания» обратится в арбитражный суд с иском за защитой нарушенного права с отнесением на ООО «Мошенник» судебных расходов, в том числе расходов на представителя.</w:t>
      </w:r>
    </w:p>
    <w:p w:rsidR="00000000" w:rsidDel="00000000" w:rsidP="00000000" w:rsidRDefault="00000000" w:rsidRPr="00000000" w14:paraId="0000000C">
      <w:pPr>
        <w:spacing w:after="0" w:line="240" w:lineRule="auto"/>
        <w:ind w:firstLine="567"/>
        <w:jc w:val="both"/>
        <w:rPr>
          <w:sz w:val="28"/>
          <w:szCs w:val="28"/>
        </w:rPr>
      </w:pPr>
      <w:r w:rsidDel="00000000" w:rsidR="00000000" w:rsidRPr="00000000">
        <w:rPr>
          <w:sz w:val="28"/>
          <w:szCs w:val="28"/>
          <w:rtl w:val="0"/>
        </w:rPr>
        <w:t xml:space="preserve">Дополнительно сообщаем, что на сегодняшний день готовится заявление о преступлении должностными лицами ООО «Мошенник» для направления Прокурору г. Москвы и в МВД по г. Москве.</w:t>
      </w:r>
    </w:p>
    <w:sectPr>
      <w:headerReference r:id="rId7" w:type="default"/>
      <w:headerReference r:id="rId8" w:type="first"/>
      <w:footerReference r:id="rId9" w:type="first"/>
      <w:pgSz w:h="16838" w:w="11906" w:orient="portrait"/>
      <w:pgMar w:bottom="1134" w:top="1134" w:left="1134"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Bold w:fontKey="{00000000-0000-0000-0000-000000000000}" r:id="rId1" w:subsetted="0"/>
    <w:embedBoldItalic w:fontKey="{00000000-0000-0000-0000-000000000000}" r:id="rId2" w:subsetted="0"/>
  </w:font>
  <w:font w:name="Kudrashov-Ital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56"/>
        <w:tab w:val="right" w:leader="none" w:pos="9355"/>
      </w:tabs>
      <w:spacing w:after="0" w:before="0" w:line="240" w:lineRule="auto"/>
      <w:ind w:left="-1133.8582677165355"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drawing>
        <wp:inline distB="114300" distT="114300" distL="114300" distR="114300">
          <wp:extent cx="6299525" cy="660400"/>
          <wp:effectExtent b="0" l="0" r="0" t="0"/>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99525" cy="660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67C85"/>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967C85"/>
  </w:style>
  <w:style w:type="paragraph" w:styleId="a5">
    <w:name w:val="footer"/>
    <w:basedOn w:val="a"/>
    <w:link w:val="a6"/>
    <w:uiPriority w:val="99"/>
    <w:unhideWhenUsed w:val="1"/>
    <w:rsid w:val="00967C85"/>
    <w:pPr>
      <w:tabs>
        <w:tab w:val="center" w:pos="4677"/>
        <w:tab w:val="right" w:pos="9355"/>
      </w:tabs>
      <w:spacing w:after="0" w:line="240" w:lineRule="auto"/>
    </w:pPr>
  </w:style>
  <w:style w:type="character" w:styleId="a6" w:customStyle="1">
    <w:name w:val="Нижний колонтитул Знак"/>
    <w:basedOn w:val="a0"/>
    <w:link w:val="a5"/>
    <w:uiPriority w:val="99"/>
    <w:rsid w:val="00967C8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Ctmv5qBX1dcS1FiwOFSStGvYg==">CgMxLjAyCGguZ2pkZ3hzOAByITFFNzdtWHNCNVl0NlQ0STBlZWdNUFFaUmNVQmxLYU1JbA==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2024-07-23T14:29:00Z</dcterms:created>
  <dc:creator>редакция жунала «Практическое налоговое планирование»</dc:creator>
</cp:coreProperties>
</file>