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3449"/>
          <w:tab w:val="center" w:leader="none" w:pos="7516"/>
        </w:tabs>
        <w:spacing w:after="0" w:line="259" w:lineRule="auto"/>
        <w:ind w:left="0" w:right="0" w:firstLine="0"/>
        <w:jc w:val="left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Анализ конкурентоспособности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фрагмент досье)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83"/>
        </w:tabs>
        <w:spacing w:after="57" w:before="57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none"/>
          <w:rtl w:val="0"/>
        </w:rPr>
        <w:t xml:space="preserve">Досье № 27</w:t>
      </w:r>
    </w:p>
    <w:p w:rsidR="00000000" w:rsidDel="00000000" w:rsidP="00000000" w:rsidRDefault="00000000" w:rsidRPr="00000000" w14:paraId="00000005">
      <w:pPr>
        <w:tabs>
          <w:tab w:val="left" w:leader="none" w:pos="283"/>
        </w:tabs>
        <w:spacing w:after="113" w:before="57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none"/>
          <w:rtl w:val="0"/>
        </w:rPr>
        <w:t xml:space="preserve">Контрагент ООО «Звездочка»</w:t>
      </w:r>
    </w:p>
    <w:p w:rsidR="00000000" w:rsidDel="00000000" w:rsidP="00000000" w:rsidRDefault="00000000" w:rsidRPr="00000000" w14:paraId="00000006">
      <w:pPr>
        <w:tabs>
          <w:tab w:val="left" w:leader="none" w:pos="283"/>
        </w:tabs>
        <w:spacing w:after="0" w:lineRule="auto"/>
        <w:ind w:left="0" w:right="283" w:firstLine="0"/>
        <w:jc w:val="left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83"/>
        </w:tabs>
        <w:spacing w:after="0" w:lineRule="auto"/>
        <w:ind w:left="0" w:right="283" w:firstLine="0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Раздел 10.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Обоснование выбора контрагента</w:t>
      </w:r>
    </w:p>
    <w:p w:rsidR="00000000" w:rsidDel="00000000" w:rsidP="00000000" w:rsidRDefault="00000000" w:rsidRPr="00000000" w14:paraId="00000008">
      <w:pPr>
        <w:tabs>
          <w:tab w:val="left" w:leader="none" w:pos="283"/>
        </w:tabs>
        <w:spacing w:after="0" w:lineRule="auto"/>
        <w:ind w:left="0" w:right="0" w:firstLine="283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1. Конкуренты контрагента: ООО «Восток» (ИНН 7705123422), ООО «Альфа» (ИНН 7705123425), Project &amp; Consultancy, LLC. (№ компании 13735545, Англия, Лондон).</w:t>
      </w:r>
    </w:p>
    <w:p w:rsidR="00000000" w:rsidDel="00000000" w:rsidP="00000000" w:rsidRDefault="00000000" w:rsidRPr="00000000" w14:paraId="00000009">
      <w:pPr>
        <w:tabs>
          <w:tab w:val="left" w:leader="none" w:pos="283"/>
        </w:tabs>
        <w:spacing w:after="57" w:lineRule="auto"/>
        <w:ind w:left="0" w:right="0" w:firstLine="283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2. Сравнение цен на консультационные услуги (прайс-листы компаний в приложении):</w:t>
      </w:r>
    </w:p>
    <w:p w:rsidR="00000000" w:rsidDel="00000000" w:rsidP="00000000" w:rsidRDefault="00000000" w:rsidRPr="00000000" w14:paraId="0000000A">
      <w:pPr>
        <w:tabs>
          <w:tab w:val="left" w:leader="none" w:pos="283"/>
        </w:tabs>
        <w:spacing w:after="57" w:lineRule="auto"/>
        <w:ind w:left="0" w:right="0" w:firstLine="283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3.0" w:type="dxa"/>
        <w:tblLayout w:type="fixed"/>
        <w:tblLook w:val="0000"/>
      </w:tblPr>
      <w:tblGrid>
        <w:gridCol w:w="1701"/>
        <w:gridCol w:w="2552"/>
        <w:gridCol w:w="2268"/>
        <w:gridCol w:w="2835"/>
        <w:tblGridChange w:id="0">
          <w:tblGrid>
            <w:gridCol w:w="1701"/>
            <w:gridCol w:w="2552"/>
            <w:gridCol w:w="2268"/>
            <w:gridCol w:w="2835"/>
          </w:tblGrid>
        </w:tblGridChange>
      </w:tblGrid>
      <w:tr>
        <w:trPr>
          <w:cantSplit w:val="0"/>
          <w:trHeight w:val="6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0B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Услуги и бонусы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0C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«Звездочка»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0D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«Восток»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0E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Project &amp; Consultancy, LLC.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0F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Консультирование по вопросам качества и снижения себестоимости продукции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10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100 000 руб. </w:t>
              <w:br w:type="textWrapping"/>
              <w:t xml:space="preserve">за 1 консультацию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11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10% от выручки компании за три последующих месяца со дня подписания акта об оказании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12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30 000 руб. за 1 час работы специалиста плюс компенсация расходов на визу, авиабилеты, питание, проживание в гостинице, такси, услуги переводчика</w:t>
            </w:r>
          </w:p>
        </w:tc>
      </w:tr>
      <w:tr>
        <w:trPr>
          <w:cantSplit w:val="0"/>
          <w:trHeight w:val="20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13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Порядок оказания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14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Три специалиста выезжают к клиенту, собирают информацию, решают возможные проблемы при внедрении новой методики производства, предоставляют отчет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15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Два эксперта консультируют онлайн по каналам видео-связи и по итогам встречи предоставляют отчет с рекомендациями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16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Один консультант проводит контрольные мероприятия по вопросам производства. По итогам формирует отчет, где указывает возможные методы снижения себестоимости продукции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17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Срок оказания услуги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18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 рабочих дней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19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 недели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1A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 рабочих дней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1B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Бонусы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1C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Гарантия результата. Иначе возврат – 50% стоимости услуг. К тому же в течение месяца после оказания услуги клиент может задать пять вопросов специалистам бесплатно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1D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Бонусов нет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13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1E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Бонусов нет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1F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Качество услуг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20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Есть благодарственное письмо от иностранного партнера, рекомендательные письма от ведущих организаций в России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21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Рекомендаций нет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13.0" w:type="dxa"/>
              <w:bottom w:w="113.0" w:type="dxa"/>
              <w:right w:w="113.0" w:type="dxa"/>
            </w:tcMar>
          </w:tcPr>
          <w:p w:rsidR="00000000" w:rsidDel="00000000" w:rsidP="00000000" w:rsidRDefault="00000000" w:rsidRPr="00000000" w14:paraId="00000022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Компания работает по стандартам профессио­нального сообщества Англии</w:t>
            </w:r>
          </w:p>
        </w:tc>
      </w:tr>
    </w:tbl>
    <w:p w:rsidR="00000000" w:rsidDel="00000000" w:rsidP="00000000" w:rsidRDefault="00000000" w:rsidRPr="00000000" w14:paraId="00000023">
      <w:pPr>
        <w:spacing w:after="0" w:line="288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283"/>
        </w:tabs>
        <w:spacing w:after="0" w:lineRule="auto"/>
        <w:ind w:left="0" w:right="0" w:firstLine="283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&lt;…&gt; </w:t>
      </w:r>
    </w:p>
    <w:p w:rsidR="00000000" w:rsidDel="00000000" w:rsidP="00000000" w:rsidRDefault="00000000" w:rsidRPr="00000000" w14:paraId="00000025">
      <w:pPr>
        <w:tabs>
          <w:tab w:val="left" w:leader="none" w:pos="283"/>
        </w:tabs>
        <w:spacing w:after="0" w:lineRule="auto"/>
        <w:ind w:left="0" w:right="0" w:firstLine="283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 Проверка контрагентов на благонадежность (подтверждающие документы, выписки из ресурсов, расчеты ликвидности в приложении):</w:t>
      </w:r>
    </w:p>
    <w:p w:rsidR="00000000" w:rsidDel="00000000" w:rsidP="00000000" w:rsidRDefault="00000000" w:rsidRPr="00000000" w14:paraId="00000026">
      <w:pPr>
        <w:tabs>
          <w:tab w:val="left" w:leader="none" w:pos="283"/>
        </w:tabs>
        <w:spacing w:after="0" w:lineRule="auto"/>
        <w:ind w:left="0" w:right="0" w:firstLine="283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-3.0" w:type="dxa"/>
        <w:tblLayout w:type="fixed"/>
        <w:tblLook w:val="0000"/>
      </w:tblPr>
      <w:tblGrid>
        <w:gridCol w:w="1985"/>
        <w:gridCol w:w="2126"/>
        <w:gridCol w:w="2410"/>
        <w:gridCol w:w="2835"/>
        <w:tblGridChange w:id="0">
          <w:tblGrid>
            <w:gridCol w:w="1985"/>
            <w:gridCol w:w="2126"/>
            <w:gridCol w:w="2410"/>
            <w:gridCol w:w="2835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7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Критерии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8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«Звездочка»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9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«Восток»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A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Project &amp; Consultancy, LLC.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B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Наличие активов по данным бухгалтерского баланса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C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200 млн руб.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D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150 млн руб.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E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Данных нет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F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Количество сотрудников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0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70 человек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1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200 человек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2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Около 50 человек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3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&lt;…&gt;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4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&lt;…&gt;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5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&lt;…&gt;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6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&lt;…&gt;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7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Наличие судебных разбирательств с клиентами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8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Нет и не было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9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Да, клиент потребовал компенсировать ущерб и победил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A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Данных нет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B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Уплата налогов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C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Добросовестный налогоплательщик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D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Есть риски (не предоставляет декларации за последние три месяца)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E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Данных нет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F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&lt;…&gt;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0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&lt;…&gt;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1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&lt;…&gt;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2">
            <w:pPr>
              <w:tabs>
                <w:tab w:val="left" w:leader="none" w:pos="240"/>
              </w:tabs>
              <w:spacing w:after="0" w:line="288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&lt;…&gt;</w:t>
            </w:r>
          </w:p>
        </w:tc>
      </w:tr>
    </w:tbl>
    <w:p w:rsidR="00000000" w:rsidDel="00000000" w:rsidP="00000000" w:rsidRDefault="00000000" w:rsidRPr="00000000" w14:paraId="00000043">
      <w:pPr>
        <w:tabs>
          <w:tab w:val="left" w:leader="none" w:pos="283"/>
        </w:tabs>
        <w:spacing w:after="0" w:lineRule="auto"/>
        <w:ind w:left="0" w:right="0" w:firstLine="283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283"/>
        </w:tabs>
        <w:spacing w:after="0" w:lineRule="auto"/>
        <w:ind w:left="0" w:right="0" w:firstLine="283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283"/>
        </w:tabs>
        <w:spacing w:after="0" w:lineRule="auto"/>
        <w:ind w:left="0" w:right="0" w:firstLine="283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Таким образом, компания «Звездочка» лидирует среди организаций, которые были отобраны нами для дальнейшего сотрудничества. Мы учитывали, что «Звездочка»:</w:t>
      </w:r>
    </w:p>
    <w:p w:rsidR="00000000" w:rsidDel="00000000" w:rsidP="00000000" w:rsidRDefault="00000000" w:rsidRPr="00000000" w14:paraId="00000046">
      <w:pPr>
        <w:tabs>
          <w:tab w:val="left" w:leader="none" w:pos="283"/>
        </w:tabs>
        <w:spacing w:after="0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</w:t>
        <w:tab/>
        <w:t xml:space="preserve">предлагает выгодный вариант оказания услуг по сравнению с другими организациями;</w:t>
      </w:r>
    </w:p>
    <w:p w:rsidR="00000000" w:rsidDel="00000000" w:rsidP="00000000" w:rsidRDefault="00000000" w:rsidRPr="00000000" w14:paraId="00000047">
      <w:pPr>
        <w:tabs>
          <w:tab w:val="left" w:leader="none" w:pos="283"/>
        </w:tabs>
        <w:spacing w:after="0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</w:t>
        <w:tab/>
        <w:t xml:space="preserve">работает на рынке на протяжении 20 лет;</w:t>
      </w:r>
    </w:p>
    <w:p w:rsidR="00000000" w:rsidDel="00000000" w:rsidP="00000000" w:rsidRDefault="00000000" w:rsidRPr="00000000" w14:paraId="00000048">
      <w:pPr>
        <w:tabs>
          <w:tab w:val="left" w:leader="none" w:pos="283"/>
        </w:tabs>
        <w:spacing w:after="0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</w:t>
        <w:tab/>
        <w:t xml:space="preserve">имеет надежную деловую репутацию;</w:t>
      </w:r>
    </w:p>
    <w:p w:rsidR="00000000" w:rsidDel="00000000" w:rsidP="00000000" w:rsidRDefault="00000000" w:rsidRPr="00000000" w14:paraId="00000049">
      <w:pPr>
        <w:tabs>
          <w:tab w:val="left" w:leader="none" w:pos="283"/>
        </w:tabs>
        <w:spacing w:after="0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</w:t>
        <w:tab/>
        <w:t xml:space="preserve">оказывает услуги быстро;</w:t>
      </w:r>
    </w:p>
    <w:p w:rsidR="00000000" w:rsidDel="00000000" w:rsidP="00000000" w:rsidRDefault="00000000" w:rsidRPr="00000000" w14:paraId="0000004A">
      <w:pPr>
        <w:tabs>
          <w:tab w:val="left" w:leader="none" w:pos="283"/>
        </w:tabs>
        <w:spacing w:after="0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</w:t>
        <w:tab/>
        <w:t xml:space="preserve">предоставляет гарантию и бонусы, выезжает к клиенту;</w:t>
      </w:r>
    </w:p>
    <w:p w:rsidR="00000000" w:rsidDel="00000000" w:rsidP="00000000" w:rsidRDefault="00000000" w:rsidRPr="00000000" w14:paraId="0000004B">
      <w:pPr>
        <w:tabs>
          <w:tab w:val="left" w:leader="none" w:pos="283"/>
        </w:tabs>
        <w:spacing w:after="0" w:lineRule="auto"/>
        <w:ind w:left="0" w:righ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</w:t>
        <w:tab/>
        <w:t xml:space="preserve">добросовестный налогоплательщик;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</w:t>
        <w:tab/>
        <w:t xml:space="preserve">платежеспособный партнер.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2127" w:left="1701" w:right="850" w:header="56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Kudrashov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70" w:hanging="10"/>
      <w:jc w:val="both"/>
      <w:rPr>
        <w:rFonts w:ascii="Calibri" w:cs="Calibri" w:eastAsia="Calibri" w:hAnsi="Calibri"/>
        <w:b w:val="0"/>
        <w:i w:val="0"/>
        <w:smallCaps w:val="0"/>
        <w:strike w:val="0"/>
        <w:color w:val="231f2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577" w:right="70" w:hanging="10"/>
      <w:jc w:val="both"/>
      <w:rPr>
        <w:rFonts w:ascii="Kudrashov" w:cs="Kudrashov" w:eastAsia="Kudrashov" w:hAnsi="Kudrashov"/>
        <w:b w:val="0"/>
        <w:i w:val="0"/>
        <w:smallCaps w:val="0"/>
        <w:strike w:val="0"/>
        <w:color w:val="231f2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Kudrashov" w:cs="Kudrashov" w:eastAsia="Kudrashov" w:hAnsi="Kudrashov"/>
        <w:color w:val="231f20"/>
        <w:sz w:val="19"/>
        <w:szCs w:val="19"/>
        <w:lang w:val="ru-RU"/>
      </w:rPr>
    </w:rPrDefault>
    <w:pPrDefault>
      <w:pPr>
        <w:spacing w:after="3" w:line="260" w:lineRule="auto"/>
        <w:ind w:left="577" w:right="70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8361D"/>
    <w:pPr>
      <w:spacing w:after="3" w:line="260" w:lineRule="auto"/>
      <w:ind w:left="577" w:right="70" w:hanging="10"/>
      <w:jc w:val="both"/>
    </w:pPr>
    <w:rPr>
      <w:rFonts w:ascii="Kudrashov" w:cs="Kudrashov" w:eastAsia="Kudrashov" w:hAnsi="Kudrashov"/>
      <w:color w:val="231f20"/>
      <w:sz w:val="19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Grid" w:customStyle="1">
    <w:name w:val="TableGrid"/>
    <w:rsid w:val="00A8361D"/>
    <w:pPr>
      <w:spacing w:after="0" w:line="240" w:lineRule="auto"/>
    </w:pPr>
    <w:rPr>
      <w:rFonts w:eastAsiaTheme="minorEastAsia"/>
      <w:lang w:eastAsia="ru-RU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header"/>
    <w:basedOn w:val="a"/>
    <w:link w:val="a4"/>
    <w:uiPriority w:val="99"/>
    <w:unhideWhenUsed w:val="1"/>
    <w:rsid w:val="00A519DB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A519DB"/>
    <w:rPr>
      <w:rFonts w:ascii="Kudrashov" w:cs="Kudrashov" w:eastAsia="Kudrashov" w:hAnsi="Kudrashov"/>
      <w:color w:val="231f20"/>
      <w:sz w:val="19"/>
      <w:lang w:eastAsia="ru-RU"/>
    </w:rPr>
  </w:style>
  <w:style w:type="paragraph" w:styleId="a5">
    <w:name w:val="footer"/>
    <w:basedOn w:val="a"/>
    <w:link w:val="a6"/>
    <w:uiPriority w:val="99"/>
    <w:unhideWhenUsed w:val="1"/>
    <w:rsid w:val="00A519DB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A519DB"/>
    <w:rPr>
      <w:rFonts w:ascii="Kudrashov" w:cs="Kudrashov" w:eastAsia="Kudrashov" w:hAnsi="Kudrashov"/>
      <w:color w:val="231f20"/>
      <w:sz w:val="19"/>
      <w:lang w:eastAsia="ru-RU"/>
    </w:rPr>
  </w:style>
  <w:style w:type="paragraph" w:styleId="a7">
    <w:name w:val="List Paragraph"/>
    <w:basedOn w:val="a"/>
    <w:uiPriority w:val="34"/>
    <w:qFormat w:val="1"/>
    <w:rsid w:val="008639BC"/>
    <w:pPr>
      <w:ind w:left="720"/>
      <w:contextualSpacing w:val="1"/>
    </w:pPr>
  </w:style>
  <w:style w:type="paragraph" w:styleId="07" w:customStyle="1">
    <w:name w:val="07.ПНП_Подзаголовок"/>
    <w:basedOn w:val="a"/>
    <w:uiPriority w:val="99"/>
    <w:rsid w:val="008639BC"/>
    <w:pPr>
      <w:suppressAutoHyphens w:val="1"/>
      <w:autoSpaceDE w:val="0"/>
      <w:autoSpaceDN w:val="0"/>
      <w:adjustRightInd w:val="0"/>
      <w:spacing w:after="57" w:before="57" w:line="240" w:lineRule="atLeast"/>
      <w:ind w:left="0" w:right="0" w:firstLine="0"/>
      <w:jc w:val="left"/>
      <w:textAlignment w:val="center"/>
    </w:pPr>
    <w:rPr>
      <w:rFonts w:ascii="HelveticaNeueCyr" w:cs="HelveticaNeueCyr" w:hAnsi="HelveticaNeueCyr" w:eastAsiaTheme="minorHAnsi"/>
      <w:b w:val="1"/>
      <w:bCs w:val="1"/>
      <w:color w:val="000000"/>
      <w:spacing w:val="-5"/>
      <w:sz w:val="24"/>
      <w:szCs w:val="24"/>
      <w:u w:color="000000"/>
      <w:lang w:eastAsia="en-US"/>
    </w:rPr>
  </w:style>
  <w:style w:type="character" w:styleId="30sHema" w:customStyle="1">
    <w:name w:val="30_sHema"/>
    <w:uiPriority w:val="99"/>
    <w:rsid w:val="008639BC"/>
    <w:rPr>
      <w:rFonts w:ascii="Kudrashov" w:cs="Kudrashov" w:hAnsi="Kudrashov"/>
      <w:i w:val="1"/>
      <w:iCs w:val="1"/>
      <w:spacing w:val="0"/>
      <w:position w:val="0"/>
      <w:sz w:val="16"/>
      <w:szCs w:val="16"/>
    </w:rPr>
  </w:style>
  <w:style w:type="paragraph" w:styleId="22" w:customStyle="1">
    <w:name w:val="22.ПНП_Документ_шапка_заг"/>
    <w:basedOn w:val="a"/>
    <w:uiPriority w:val="99"/>
    <w:rsid w:val="008639BC"/>
    <w:pPr>
      <w:tabs>
        <w:tab w:val="left" w:pos="283"/>
      </w:tabs>
      <w:suppressAutoHyphens w:val="1"/>
      <w:autoSpaceDE w:val="0"/>
      <w:autoSpaceDN w:val="0"/>
      <w:adjustRightInd w:val="0"/>
      <w:spacing w:after="57" w:before="57" w:line="220" w:lineRule="atLeast"/>
      <w:ind w:left="0" w:right="0" w:firstLine="0"/>
      <w:jc w:val="center"/>
      <w:textAlignment w:val="center"/>
    </w:pPr>
    <w:rPr>
      <w:rFonts w:ascii="HelveticaNeueCyr" w:cs="HelveticaNeueCyr" w:hAnsi="HelveticaNeueCyr" w:eastAsiaTheme="minorHAnsi"/>
      <w:b w:val="1"/>
      <w:bCs w:val="1"/>
      <w:color w:val="000000"/>
      <w:sz w:val="20"/>
      <w:szCs w:val="20"/>
      <w:u w:color="000000"/>
      <w:lang w:eastAsia="en-US"/>
    </w:rPr>
  </w:style>
  <w:style w:type="paragraph" w:styleId="25" w:customStyle="1">
    <w:name w:val="25.ПНП_Документ_текст без абзаца"/>
    <w:basedOn w:val="a"/>
    <w:uiPriority w:val="99"/>
    <w:rsid w:val="008639BC"/>
    <w:pPr>
      <w:tabs>
        <w:tab w:val="left" w:pos="283"/>
      </w:tabs>
      <w:autoSpaceDE w:val="0"/>
      <w:autoSpaceDN w:val="0"/>
      <w:adjustRightInd w:val="0"/>
      <w:spacing w:after="0" w:line="220" w:lineRule="atLeast"/>
      <w:ind w:left="0" w:right="0" w:firstLine="0"/>
      <w:textAlignment w:val="center"/>
    </w:pPr>
    <w:rPr>
      <w:rFonts w:ascii="HelveticaNeueCyr" w:cs="HelveticaNeueCyr" w:hAnsi="HelveticaNeueCyr" w:eastAsiaTheme="minorHAnsi"/>
      <w:color w:val="000000"/>
      <w:spacing w:val="2"/>
      <w:sz w:val="17"/>
      <w:szCs w:val="17"/>
      <w:lang w:eastAsia="en-US"/>
    </w:rPr>
  </w:style>
  <w:style w:type="paragraph" w:styleId="24" w:customStyle="1">
    <w:name w:val="24.ПНП_Документ_текст с абзацем"/>
    <w:basedOn w:val="a"/>
    <w:uiPriority w:val="99"/>
    <w:rsid w:val="008639BC"/>
    <w:pPr>
      <w:tabs>
        <w:tab w:val="left" w:pos="283"/>
      </w:tabs>
      <w:autoSpaceDE w:val="0"/>
      <w:autoSpaceDN w:val="0"/>
      <w:adjustRightInd w:val="0"/>
      <w:spacing w:after="0" w:line="220" w:lineRule="atLeast"/>
      <w:ind w:left="0" w:right="0" w:firstLine="283"/>
      <w:textAlignment w:val="center"/>
    </w:pPr>
    <w:rPr>
      <w:rFonts w:ascii="HelveticaNeueCyr" w:cs="HelveticaNeueCyr" w:hAnsi="HelveticaNeueCyr" w:eastAsiaTheme="minorHAnsi"/>
      <w:color w:val="000000"/>
      <w:spacing w:val="2"/>
      <w:sz w:val="17"/>
      <w:szCs w:val="17"/>
      <w:lang w:eastAsia="en-US"/>
    </w:rPr>
  </w:style>
  <w:style w:type="paragraph" w:styleId="a8" w:customStyle="1">
    <w:name w:val="[Без стиля]"/>
    <w:rsid w:val="00562B15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cs="Times Regular" w:hAnsi="Times Regular"/>
      <w:color w:val="000000"/>
      <w:sz w:val="24"/>
      <w:szCs w:val="24"/>
      <w:lang w:val="en-US"/>
    </w:rPr>
  </w:style>
  <w:style w:type="paragraph" w:styleId="33" w:customStyle="1">
    <w:name w:val="33.ПНП_Таблица_текст"/>
    <w:basedOn w:val="a8"/>
    <w:uiPriority w:val="99"/>
    <w:rsid w:val="00562B15"/>
    <w:pPr>
      <w:tabs>
        <w:tab w:val="left" w:pos="240"/>
      </w:tabs>
    </w:pPr>
    <w:rPr>
      <w:rFonts w:ascii="HelveticaNeueCyr" w:cs="HelveticaNeueCyr" w:hAnsi="HelveticaNeueCyr"/>
      <w:sz w:val="16"/>
      <w:szCs w:val="16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2I2HLVvm0oWzyD0ZJIIjcbWEng==">CgMxLjAyCGguZ2pkZ3hzOAByITF0Q0JEUmJyRGtiNXpLQUFqWWUxaXJOVnNMWEhKUEh4dg==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2023-03-30T06:56:00Z</dcterms:created>
  <dc:creator>Русаева Елена Евгеньевна</dc:creator>
</cp:coreProperties>
</file>